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1B6" w:rsidRDefault="000D746B">
      <w:pPr>
        <w:widowControl/>
        <w:shd w:val="clear" w:color="auto" w:fill="FFFFFF"/>
        <w:spacing w:line="336" w:lineRule="atLeast"/>
        <w:ind w:firstLineChars="0" w:firstLine="181"/>
        <w:jc w:val="center"/>
        <w:rPr>
          <w:rFonts w:ascii="Arial" w:eastAsia="宋体" w:hAnsi="Arial" w:cs="Arial"/>
          <w:kern w:val="0"/>
          <w:sz w:val="44"/>
          <w:szCs w:val="44"/>
        </w:rPr>
      </w:pPr>
      <w:r>
        <w:rPr>
          <w:rFonts w:ascii="宋体" w:eastAsia="宋体" w:hAnsi="宋体" w:cs="Arial" w:hint="eastAsia"/>
          <w:b/>
          <w:bCs/>
          <w:kern w:val="0"/>
          <w:sz w:val="44"/>
          <w:szCs w:val="44"/>
        </w:rPr>
        <w:t>中国银监会关于印发银行业金融机构从业人员行为管理指引的通知</w:t>
      </w:r>
    </w:p>
    <w:p w:rsidR="005651B6" w:rsidRDefault="000D746B">
      <w:pPr>
        <w:widowControl/>
        <w:shd w:val="clear" w:color="auto" w:fill="FFFFFF"/>
        <w:spacing w:line="336" w:lineRule="atLeast"/>
        <w:ind w:firstLineChars="0" w:firstLine="0"/>
        <w:jc w:val="center"/>
        <w:rPr>
          <w:rFonts w:ascii="Arial" w:eastAsia="宋体" w:hAnsi="Arial" w:cs="Arial"/>
          <w:kern w:val="0"/>
          <w:sz w:val="32"/>
          <w:szCs w:val="32"/>
        </w:rPr>
      </w:pPr>
      <w:r>
        <w:rPr>
          <w:rFonts w:ascii="宋体" w:eastAsia="宋体" w:hAnsi="宋体" w:cs="Arial" w:hint="eastAsia"/>
          <w:kern w:val="0"/>
          <w:sz w:val="32"/>
          <w:szCs w:val="32"/>
        </w:rPr>
        <w:t>银监发〔</w:t>
      </w:r>
      <w:r>
        <w:rPr>
          <w:rFonts w:ascii="Calibri" w:eastAsia="宋体" w:hAnsi="Calibri" w:cs="Arial"/>
          <w:kern w:val="0"/>
          <w:sz w:val="32"/>
          <w:szCs w:val="32"/>
        </w:rPr>
        <w:t>2018</w:t>
      </w:r>
      <w:r>
        <w:rPr>
          <w:rFonts w:ascii="宋体" w:eastAsia="宋体" w:hAnsi="宋体" w:cs="Arial" w:hint="eastAsia"/>
          <w:kern w:val="0"/>
          <w:sz w:val="32"/>
          <w:szCs w:val="32"/>
        </w:rPr>
        <w:t>〕</w:t>
      </w:r>
      <w:r>
        <w:rPr>
          <w:rFonts w:ascii="Calibri" w:eastAsia="宋体" w:hAnsi="Calibri" w:cs="Arial"/>
          <w:kern w:val="0"/>
          <w:sz w:val="32"/>
          <w:szCs w:val="32"/>
        </w:rPr>
        <w:t>9</w:t>
      </w:r>
      <w:r>
        <w:rPr>
          <w:rFonts w:ascii="宋体" w:eastAsia="宋体" w:hAnsi="宋体" w:cs="Arial" w:hint="eastAsia"/>
          <w:kern w:val="0"/>
          <w:sz w:val="32"/>
          <w:szCs w:val="32"/>
        </w:rPr>
        <w:t>号</w:t>
      </w:r>
    </w:p>
    <w:p w:rsidR="005651B6" w:rsidRDefault="000D746B">
      <w:pPr>
        <w:widowControl/>
        <w:shd w:val="clear" w:color="auto" w:fill="FFFFFF"/>
        <w:spacing w:line="336" w:lineRule="atLeast"/>
        <w:ind w:firstLineChars="0" w:firstLine="420"/>
        <w:jc w:val="left"/>
        <w:rPr>
          <w:rFonts w:ascii="Arial" w:eastAsia="宋体" w:hAnsi="Arial" w:cs="Arial"/>
          <w:kern w:val="0"/>
          <w:sz w:val="32"/>
          <w:szCs w:val="32"/>
        </w:rPr>
      </w:pPr>
      <w:r>
        <w:rPr>
          <w:rFonts w:ascii="Calibri" w:eastAsia="宋体" w:hAnsi="Calibri" w:cs="Arial"/>
          <w:kern w:val="0"/>
          <w:sz w:val="32"/>
          <w:szCs w:val="32"/>
        </w:rPr>
        <w:t>              </w:t>
      </w:r>
    </w:p>
    <w:p w:rsidR="005651B6" w:rsidRDefault="000D746B">
      <w:pPr>
        <w:widowControl/>
        <w:shd w:val="clear" w:color="auto" w:fill="FFFFFF"/>
        <w:spacing w:line="336" w:lineRule="atLeast"/>
        <w:ind w:firstLineChars="0" w:firstLine="0"/>
        <w:jc w:val="left"/>
        <w:rPr>
          <w:rFonts w:ascii="Arial" w:eastAsia="宋体" w:hAnsi="Arial" w:cs="Arial"/>
          <w:kern w:val="0"/>
          <w:sz w:val="32"/>
          <w:szCs w:val="32"/>
        </w:rPr>
      </w:pPr>
      <w:proofErr w:type="gramStart"/>
      <w:r>
        <w:rPr>
          <w:rFonts w:ascii="宋体" w:eastAsia="宋体" w:hAnsi="宋体" w:cs="Arial" w:hint="eastAsia"/>
          <w:kern w:val="0"/>
          <w:sz w:val="32"/>
          <w:szCs w:val="32"/>
        </w:rPr>
        <w:t>各银监</w:t>
      </w:r>
      <w:proofErr w:type="gramEnd"/>
      <w:r>
        <w:rPr>
          <w:rFonts w:ascii="宋体" w:eastAsia="宋体" w:hAnsi="宋体" w:cs="Arial" w:hint="eastAsia"/>
          <w:kern w:val="0"/>
          <w:sz w:val="32"/>
          <w:szCs w:val="32"/>
        </w:rPr>
        <w:t>局，机关各部门，各政策性银行、大型银行、股份制银行，邮储银行，外资银行，金融资产管理公司，其他会管金融机构：</w:t>
      </w:r>
    </w:p>
    <w:p w:rsidR="005651B6" w:rsidRDefault="000D746B" w:rsidP="007F0E21">
      <w:pPr>
        <w:widowControl/>
        <w:shd w:val="clear" w:color="auto" w:fill="FFFFFF"/>
        <w:spacing w:line="336" w:lineRule="atLeast"/>
        <w:ind w:firstLineChars="200" w:firstLine="640"/>
        <w:jc w:val="left"/>
        <w:rPr>
          <w:rFonts w:ascii="Arial" w:eastAsia="宋体" w:hAnsi="Arial" w:cs="Arial"/>
          <w:kern w:val="0"/>
          <w:sz w:val="32"/>
          <w:szCs w:val="32"/>
        </w:rPr>
      </w:pPr>
      <w:bookmarkStart w:id="0" w:name="_GoBack"/>
      <w:bookmarkEnd w:id="0"/>
      <w:r>
        <w:rPr>
          <w:rFonts w:ascii="宋体" w:eastAsia="宋体" w:hAnsi="宋体" w:cs="Arial" w:hint="eastAsia"/>
          <w:kern w:val="0"/>
          <w:sz w:val="32"/>
          <w:szCs w:val="32"/>
        </w:rPr>
        <w:t>现将《银行业金融机构从业人员行为管理指引》印发给你们，请遵照执行。</w:t>
      </w:r>
    </w:p>
    <w:p w:rsidR="005651B6" w:rsidRDefault="000D746B">
      <w:pPr>
        <w:widowControl/>
        <w:shd w:val="clear" w:color="auto" w:fill="FFFFFF"/>
        <w:spacing w:line="336" w:lineRule="atLeast"/>
        <w:ind w:firstLineChars="0" w:firstLine="0"/>
        <w:jc w:val="right"/>
        <w:rPr>
          <w:rFonts w:ascii="Arial" w:eastAsia="宋体" w:hAnsi="Arial" w:cs="Arial"/>
          <w:kern w:val="0"/>
          <w:sz w:val="32"/>
          <w:szCs w:val="32"/>
        </w:rPr>
      </w:pPr>
      <w:r>
        <w:rPr>
          <w:rFonts w:ascii="宋体" w:eastAsia="宋体" w:hAnsi="宋体" w:cs="Arial" w:hint="eastAsia"/>
          <w:b/>
          <w:bCs/>
          <w:kern w:val="0"/>
          <w:sz w:val="32"/>
          <w:szCs w:val="32"/>
        </w:rPr>
        <w:t>中国银监会</w:t>
      </w:r>
    </w:p>
    <w:p w:rsidR="005651B6" w:rsidRDefault="000D746B">
      <w:pPr>
        <w:widowControl/>
        <w:shd w:val="clear" w:color="auto" w:fill="FFFFFF"/>
        <w:spacing w:line="336" w:lineRule="atLeast"/>
        <w:ind w:firstLineChars="0" w:firstLine="0"/>
        <w:jc w:val="right"/>
        <w:rPr>
          <w:rFonts w:ascii="Arial" w:eastAsia="宋体" w:hAnsi="Arial" w:cs="Arial"/>
          <w:kern w:val="0"/>
          <w:sz w:val="32"/>
          <w:szCs w:val="32"/>
        </w:rPr>
      </w:pPr>
      <w:r>
        <w:rPr>
          <w:rFonts w:ascii="Calibri" w:eastAsia="宋体" w:hAnsi="Calibri" w:cs="Arial"/>
          <w:b/>
          <w:bCs/>
          <w:kern w:val="0"/>
          <w:sz w:val="32"/>
          <w:szCs w:val="32"/>
        </w:rPr>
        <w:t>2018</w:t>
      </w:r>
      <w:r>
        <w:rPr>
          <w:rFonts w:ascii="宋体" w:eastAsia="宋体" w:hAnsi="宋体" w:cs="Arial" w:hint="eastAsia"/>
          <w:b/>
          <w:bCs/>
          <w:kern w:val="0"/>
          <w:sz w:val="32"/>
          <w:szCs w:val="32"/>
        </w:rPr>
        <w:t>年</w:t>
      </w:r>
      <w:r>
        <w:rPr>
          <w:rFonts w:ascii="Calibri" w:eastAsia="宋体" w:hAnsi="Calibri" w:cs="Arial"/>
          <w:b/>
          <w:bCs/>
          <w:kern w:val="0"/>
          <w:sz w:val="32"/>
          <w:szCs w:val="32"/>
        </w:rPr>
        <w:t>3</w:t>
      </w:r>
      <w:r>
        <w:rPr>
          <w:rFonts w:ascii="宋体" w:eastAsia="宋体" w:hAnsi="宋体" w:cs="Arial" w:hint="eastAsia"/>
          <w:b/>
          <w:bCs/>
          <w:kern w:val="0"/>
          <w:sz w:val="32"/>
          <w:szCs w:val="32"/>
        </w:rPr>
        <w:t>月</w:t>
      </w:r>
      <w:r>
        <w:rPr>
          <w:rFonts w:ascii="Calibri" w:eastAsia="宋体" w:hAnsi="Calibri" w:cs="Arial"/>
          <w:b/>
          <w:bCs/>
          <w:kern w:val="0"/>
          <w:sz w:val="32"/>
          <w:szCs w:val="32"/>
        </w:rPr>
        <w:t>20</w:t>
      </w:r>
      <w:r>
        <w:rPr>
          <w:rFonts w:ascii="宋体" w:eastAsia="宋体" w:hAnsi="宋体" w:cs="Arial" w:hint="eastAsia"/>
          <w:b/>
          <w:bCs/>
          <w:kern w:val="0"/>
          <w:sz w:val="32"/>
          <w:szCs w:val="32"/>
        </w:rPr>
        <w:t>日</w:t>
      </w:r>
    </w:p>
    <w:p w:rsidR="005651B6" w:rsidRDefault="000D746B">
      <w:pPr>
        <w:widowControl/>
        <w:shd w:val="clear" w:color="auto" w:fill="FFFFFF"/>
        <w:spacing w:line="336" w:lineRule="atLeast"/>
        <w:ind w:firstLineChars="0" w:firstLine="420"/>
        <w:jc w:val="left"/>
        <w:rPr>
          <w:rFonts w:ascii="Arial" w:eastAsia="宋体" w:hAnsi="Arial" w:cs="Arial"/>
          <w:kern w:val="0"/>
          <w:sz w:val="32"/>
          <w:szCs w:val="32"/>
        </w:rPr>
      </w:pPr>
      <w:r>
        <w:rPr>
          <w:rFonts w:ascii="宋体" w:eastAsia="宋体" w:hAnsi="宋体" w:cs="Arial" w:hint="eastAsia"/>
          <w:kern w:val="0"/>
          <w:sz w:val="32"/>
          <w:szCs w:val="32"/>
        </w:rPr>
        <w:t>（此件发至银</w:t>
      </w:r>
      <w:proofErr w:type="gramStart"/>
      <w:r>
        <w:rPr>
          <w:rFonts w:ascii="宋体" w:eastAsia="宋体" w:hAnsi="宋体" w:cs="Arial" w:hint="eastAsia"/>
          <w:kern w:val="0"/>
          <w:sz w:val="32"/>
          <w:szCs w:val="32"/>
        </w:rPr>
        <w:t>监分局</w:t>
      </w:r>
      <w:proofErr w:type="gramEnd"/>
      <w:r>
        <w:rPr>
          <w:rFonts w:ascii="宋体" w:eastAsia="宋体" w:hAnsi="宋体" w:cs="Arial" w:hint="eastAsia"/>
          <w:kern w:val="0"/>
          <w:sz w:val="32"/>
          <w:szCs w:val="32"/>
        </w:rPr>
        <w:t>和地方法人银行业金融机构）</w:t>
      </w:r>
    </w:p>
    <w:p w:rsidR="005651B6" w:rsidRDefault="000D746B">
      <w:pPr>
        <w:widowControl/>
        <w:shd w:val="clear" w:color="auto" w:fill="FFFFFF"/>
        <w:spacing w:line="336" w:lineRule="atLeast"/>
        <w:ind w:firstLineChars="0" w:firstLine="420"/>
        <w:jc w:val="left"/>
        <w:rPr>
          <w:rFonts w:ascii="Arial" w:eastAsia="宋体" w:hAnsi="Arial" w:cs="Arial"/>
          <w:kern w:val="0"/>
          <w:sz w:val="17"/>
          <w:szCs w:val="17"/>
        </w:rPr>
      </w:pPr>
      <w:r>
        <w:rPr>
          <w:rFonts w:ascii="Calibri" w:eastAsia="宋体" w:hAnsi="Calibri" w:cs="Arial"/>
          <w:kern w:val="0"/>
          <w:sz w:val="24"/>
          <w:szCs w:val="24"/>
        </w:rPr>
        <w:t>             </w:t>
      </w:r>
    </w:p>
    <w:p w:rsidR="005651B6" w:rsidRDefault="005651B6">
      <w:pPr>
        <w:widowControl/>
        <w:shd w:val="clear" w:color="auto" w:fill="FFFFFF"/>
        <w:spacing w:line="336" w:lineRule="atLeast"/>
        <w:ind w:firstLineChars="0" w:firstLine="0"/>
        <w:jc w:val="center"/>
        <w:rPr>
          <w:rFonts w:ascii="宋体" w:eastAsia="宋体" w:hAnsi="宋体" w:cs="Arial"/>
          <w:b/>
          <w:bCs/>
          <w:kern w:val="0"/>
          <w:sz w:val="28"/>
          <w:szCs w:val="28"/>
        </w:rPr>
      </w:pPr>
    </w:p>
    <w:p w:rsidR="005651B6" w:rsidRDefault="005651B6">
      <w:pPr>
        <w:widowControl/>
        <w:shd w:val="clear" w:color="auto" w:fill="FFFFFF"/>
        <w:spacing w:line="336" w:lineRule="atLeast"/>
        <w:ind w:firstLineChars="0" w:firstLine="0"/>
        <w:jc w:val="center"/>
        <w:rPr>
          <w:rFonts w:ascii="宋体" w:eastAsia="宋体" w:hAnsi="宋体" w:cs="Arial"/>
          <w:b/>
          <w:bCs/>
          <w:kern w:val="0"/>
          <w:sz w:val="28"/>
          <w:szCs w:val="28"/>
        </w:rPr>
      </w:pPr>
    </w:p>
    <w:p w:rsidR="005651B6" w:rsidRDefault="000D746B">
      <w:pPr>
        <w:widowControl/>
        <w:shd w:val="clear" w:color="auto" w:fill="FFFFFF"/>
        <w:ind w:firstLineChars="200" w:firstLine="723"/>
        <w:jc w:val="center"/>
        <w:rPr>
          <w:rFonts w:ascii="Arial" w:eastAsia="宋体" w:hAnsi="Arial" w:cs="Arial"/>
          <w:kern w:val="0"/>
          <w:sz w:val="36"/>
          <w:szCs w:val="36"/>
        </w:rPr>
      </w:pPr>
      <w:r>
        <w:rPr>
          <w:rFonts w:ascii="宋体" w:eastAsia="宋体" w:hAnsi="宋体" w:cs="Arial" w:hint="eastAsia"/>
          <w:b/>
          <w:bCs/>
          <w:kern w:val="0"/>
          <w:sz w:val="36"/>
          <w:szCs w:val="36"/>
        </w:rPr>
        <w:t>银行业金融机构从业人员行为管理指引</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Calibri" w:eastAsia="宋体" w:hAnsi="Calibri" w:cs="Arial"/>
          <w:kern w:val="0"/>
          <w:sz w:val="32"/>
          <w:szCs w:val="32"/>
        </w:rPr>
        <w:t>             </w:t>
      </w:r>
    </w:p>
    <w:p w:rsidR="005651B6" w:rsidRDefault="000D746B">
      <w:pPr>
        <w:widowControl/>
        <w:shd w:val="clear" w:color="auto" w:fill="FFFFFF"/>
        <w:ind w:firstLineChars="200" w:firstLine="643"/>
        <w:jc w:val="center"/>
        <w:rPr>
          <w:rFonts w:ascii="Arial" w:eastAsia="宋体" w:hAnsi="Arial" w:cs="Arial"/>
          <w:kern w:val="0"/>
          <w:sz w:val="32"/>
          <w:szCs w:val="32"/>
        </w:rPr>
      </w:pPr>
      <w:r>
        <w:rPr>
          <w:rFonts w:ascii="宋体" w:eastAsia="宋体" w:hAnsi="宋体" w:cs="Arial" w:hint="eastAsia"/>
          <w:b/>
          <w:bCs/>
          <w:kern w:val="0"/>
          <w:sz w:val="32"/>
          <w:szCs w:val="32"/>
        </w:rPr>
        <w:t>第一章</w:t>
      </w:r>
      <w:r>
        <w:rPr>
          <w:rFonts w:ascii="Calibri" w:eastAsia="宋体" w:hAnsi="Calibri" w:cs="Arial"/>
          <w:b/>
          <w:bCs/>
          <w:kern w:val="0"/>
          <w:sz w:val="32"/>
          <w:szCs w:val="32"/>
        </w:rPr>
        <w:t> </w:t>
      </w:r>
      <w:r>
        <w:rPr>
          <w:rFonts w:ascii="宋体" w:eastAsia="宋体" w:hAnsi="宋体" w:cs="Arial" w:hint="eastAsia"/>
          <w:b/>
          <w:bCs/>
          <w:kern w:val="0"/>
          <w:sz w:val="32"/>
          <w:szCs w:val="32"/>
        </w:rPr>
        <w:t>总则</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第一条</w:t>
      </w:r>
      <w:r>
        <w:rPr>
          <w:rFonts w:ascii="Calibri" w:eastAsia="宋体" w:hAnsi="Calibri" w:cs="Arial"/>
          <w:kern w:val="0"/>
          <w:sz w:val="32"/>
          <w:szCs w:val="32"/>
        </w:rPr>
        <w:t> </w:t>
      </w:r>
      <w:r>
        <w:rPr>
          <w:rFonts w:ascii="宋体" w:eastAsia="宋体" w:hAnsi="宋体" w:cs="Arial" w:hint="eastAsia"/>
          <w:kern w:val="0"/>
          <w:sz w:val="32"/>
          <w:szCs w:val="32"/>
        </w:rPr>
        <w:t>为督促银行业金融机构加强从业人员行为管理，促进银行业安全、稳健运行，根据《中华人民共和国商业银行法》《中华人民共和国银行业监督管理法》等法律法规制定本指引。</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lastRenderedPageBreak/>
        <w:t>第二条</w:t>
      </w:r>
      <w:r>
        <w:rPr>
          <w:rFonts w:ascii="Calibri" w:eastAsia="宋体" w:hAnsi="Calibri" w:cs="Arial"/>
          <w:kern w:val="0"/>
          <w:sz w:val="32"/>
          <w:szCs w:val="32"/>
        </w:rPr>
        <w:t> </w:t>
      </w:r>
      <w:r>
        <w:rPr>
          <w:rFonts w:ascii="宋体" w:eastAsia="宋体" w:hAnsi="宋体" w:cs="Arial" w:hint="eastAsia"/>
          <w:kern w:val="0"/>
          <w:sz w:val="32"/>
          <w:szCs w:val="32"/>
        </w:rPr>
        <w:t>本指引所称银行业金融机构是指在中华人民共和国境内设立的商业银行、农村信用合作社等吸收公众存款的金融机构及政策性银行。</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在中华人民共和国境内设立的金融资产管理公司、信托公司、财务公司、金融租赁公司以及经国务院银行业监督管理机构批准设立的其他金融机构适用本指引。</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第三条</w:t>
      </w:r>
      <w:r>
        <w:rPr>
          <w:rFonts w:ascii="Calibri" w:eastAsia="宋体" w:hAnsi="Calibri" w:cs="Arial"/>
          <w:kern w:val="0"/>
          <w:sz w:val="32"/>
          <w:szCs w:val="32"/>
        </w:rPr>
        <w:t> </w:t>
      </w:r>
      <w:r>
        <w:rPr>
          <w:rFonts w:ascii="宋体" w:eastAsia="宋体" w:hAnsi="宋体" w:cs="Arial" w:hint="eastAsia"/>
          <w:kern w:val="0"/>
          <w:sz w:val="32"/>
          <w:szCs w:val="32"/>
        </w:rPr>
        <w:t>本指引所称银行业金融机构从业人员（以下简称从业人员）是指按照《中华人民共和国劳</w:t>
      </w:r>
      <w:r>
        <w:rPr>
          <w:rFonts w:ascii="宋体" w:eastAsia="宋体" w:hAnsi="宋体" w:cs="Arial" w:hint="eastAsia"/>
          <w:kern w:val="0"/>
          <w:sz w:val="32"/>
          <w:szCs w:val="32"/>
        </w:rPr>
        <w:t>动合同法》规定，与银行业金融机构签订劳动合同的在岗人员，银行业金融机构董（理）事会成员、监事会成员及高级管理人员，以及银行业金融机构聘用或与劳务派遣机构签订协议从事辅助性金融服务的其他人员。</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第四条</w:t>
      </w:r>
      <w:r>
        <w:rPr>
          <w:rFonts w:ascii="Calibri" w:eastAsia="宋体" w:hAnsi="Calibri" w:cs="Arial"/>
          <w:kern w:val="0"/>
          <w:sz w:val="32"/>
          <w:szCs w:val="32"/>
        </w:rPr>
        <w:t> </w:t>
      </w:r>
      <w:r>
        <w:rPr>
          <w:rFonts w:ascii="宋体" w:eastAsia="宋体" w:hAnsi="宋体" w:cs="Arial" w:hint="eastAsia"/>
          <w:kern w:val="0"/>
          <w:sz w:val="32"/>
          <w:szCs w:val="32"/>
        </w:rPr>
        <w:t>银行业金融机构对本机构从业人员行为管理承担主体责任。银行业金融机构应加强对从业人员行为的管理，使其保持良好的职业操守，诚实守信、勤勉尽责，坚持依法经营、合</w:t>
      </w:r>
      <w:proofErr w:type="gramStart"/>
      <w:r>
        <w:rPr>
          <w:rFonts w:ascii="宋体" w:eastAsia="宋体" w:hAnsi="宋体" w:cs="Arial" w:hint="eastAsia"/>
          <w:kern w:val="0"/>
          <w:sz w:val="32"/>
          <w:szCs w:val="32"/>
        </w:rPr>
        <w:t>规</w:t>
      </w:r>
      <w:proofErr w:type="gramEnd"/>
      <w:r>
        <w:rPr>
          <w:rFonts w:ascii="宋体" w:eastAsia="宋体" w:hAnsi="宋体" w:cs="Arial" w:hint="eastAsia"/>
          <w:kern w:val="0"/>
          <w:sz w:val="32"/>
          <w:szCs w:val="32"/>
        </w:rPr>
        <w:t>操作，遵守工作纪律和保密原则，严格执行廉洁从业的各项规定。</w:t>
      </w:r>
    </w:p>
    <w:p w:rsidR="005651B6" w:rsidRDefault="000D746B">
      <w:pPr>
        <w:widowControl/>
        <w:shd w:val="clear" w:color="auto" w:fill="FFFFFF"/>
        <w:ind w:firstLineChars="200" w:firstLine="643"/>
        <w:jc w:val="center"/>
        <w:rPr>
          <w:rFonts w:ascii="Arial" w:eastAsia="宋体" w:hAnsi="Arial" w:cs="Arial"/>
          <w:kern w:val="0"/>
          <w:sz w:val="32"/>
          <w:szCs w:val="32"/>
        </w:rPr>
      </w:pPr>
      <w:r>
        <w:rPr>
          <w:rFonts w:ascii="宋体" w:eastAsia="宋体" w:hAnsi="宋体" w:cs="Arial" w:hint="eastAsia"/>
          <w:b/>
          <w:bCs/>
          <w:kern w:val="0"/>
          <w:sz w:val="32"/>
          <w:szCs w:val="32"/>
        </w:rPr>
        <w:t>第二章</w:t>
      </w:r>
      <w:r>
        <w:rPr>
          <w:rFonts w:ascii="Calibri" w:eastAsia="宋体" w:hAnsi="Calibri" w:cs="Arial"/>
          <w:b/>
          <w:bCs/>
          <w:kern w:val="0"/>
          <w:sz w:val="32"/>
          <w:szCs w:val="32"/>
        </w:rPr>
        <w:t> </w:t>
      </w:r>
      <w:r>
        <w:rPr>
          <w:rFonts w:ascii="宋体" w:eastAsia="宋体" w:hAnsi="宋体" w:cs="Arial" w:hint="eastAsia"/>
          <w:b/>
          <w:bCs/>
          <w:kern w:val="0"/>
          <w:sz w:val="32"/>
          <w:szCs w:val="32"/>
        </w:rPr>
        <w:t>从业人员行为管理的治理架构</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第五条</w:t>
      </w:r>
      <w:r>
        <w:rPr>
          <w:rFonts w:ascii="Calibri" w:eastAsia="宋体" w:hAnsi="Calibri" w:cs="Arial"/>
          <w:kern w:val="0"/>
          <w:sz w:val="32"/>
          <w:szCs w:val="32"/>
        </w:rPr>
        <w:t> </w:t>
      </w:r>
      <w:r>
        <w:rPr>
          <w:rFonts w:ascii="宋体" w:eastAsia="宋体" w:hAnsi="宋体" w:cs="Arial" w:hint="eastAsia"/>
          <w:kern w:val="0"/>
          <w:sz w:val="32"/>
          <w:szCs w:val="32"/>
        </w:rPr>
        <w:t>银行业金融机构应建立覆盖全面、授权明晰、相互制衡的从</w:t>
      </w:r>
      <w:r>
        <w:rPr>
          <w:rFonts w:ascii="宋体" w:eastAsia="宋体" w:hAnsi="宋体" w:cs="Arial" w:hint="eastAsia"/>
          <w:kern w:val="0"/>
          <w:sz w:val="32"/>
          <w:szCs w:val="32"/>
        </w:rPr>
        <w:t>业人员行为管理体系，并明确董事会、监事会、高级管理层和相关职能部门在从业人员行为管理中的职责分工。</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lastRenderedPageBreak/>
        <w:t>第六条</w:t>
      </w:r>
      <w:r>
        <w:rPr>
          <w:rFonts w:ascii="Calibri" w:eastAsia="宋体" w:hAnsi="Calibri" w:cs="Arial"/>
          <w:kern w:val="0"/>
          <w:sz w:val="32"/>
          <w:szCs w:val="32"/>
        </w:rPr>
        <w:t> </w:t>
      </w:r>
      <w:r>
        <w:rPr>
          <w:rFonts w:ascii="宋体" w:eastAsia="宋体" w:hAnsi="宋体" w:cs="Arial" w:hint="eastAsia"/>
          <w:kern w:val="0"/>
          <w:sz w:val="32"/>
          <w:szCs w:val="32"/>
        </w:rPr>
        <w:t>银行业金融机构董事会对从业人员的行为管理承担最终责任，并履行以下职责：</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（一）培育依法合</w:t>
      </w:r>
      <w:proofErr w:type="gramStart"/>
      <w:r>
        <w:rPr>
          <w:rFonts w:ascii="宋体" w:eastAsia="宋体" w:hAnsi="宋体" w:cs="Arial" w:hint="eastAsia"/>
          <w:kern w:val="0"/>
          <w:sz w:val="32"/>
          <w:szCs w:val="32"/>
        </w:rPr>
        <w:t>规</w:t>
      </w:r>
      <w:proofErr w:type="gramEnd"/>
      <w:r>
        <w:rPr>
          <w:rFonts w:ascii="宋体" w:eastAsia="宋体" w:hAnsi="宋体" w:cs="Arial" w:hint="eastAsia"/>
          <w:kern w:val="0"/>
          <w:sz w:val="32"/>
          <w:szCs w:val="32"/>
        </w:rPr>
        <w:t>、诚实守信的从业人员行为管理文化；</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（二）审批本机构制定的行为守则及其细则；</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（三）监督高级管理层实施从业人员行为管理。</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董事会可授权下设相关委员会履行其部分职责。</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第七条</w:t>
      </w:r>
      <w:r>
        <w:rPr>
          <w:rFonts w:ascii="Calibri" w:eastAsia="宋体" w:hAnsi="Calibri" w:cs="Arial"/>
          <w:kern w:val="0"/>
          <w:sz w:val="32"/>
          <w:szCs w:val="32"/>
        </w:rPr>
        <w:t> </w:t>
      </w:r>
      <w:r>
        <w:rPr>
          <w:rFonts w:ascii="宋体" w:eastAsia="宋体" w:hAnsi="宋体" w:cs="Arial" w:hint="eastAsia"/>
          <w:kern w:val="0"/>
          <w:sz w:val="32"/>
          <w:szCs w:val="32"/>
        </w:rPr>
        <w:t>监事会负责对董事会和高级管理层在从业人员行为管理中的履职情况进行监督评价。</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第八条</w:t>
      </w:r>
      <w:r>
        <w:rPr>
          <w:rFonts w:ascii="Calibri" w:eastAsia="宋体" w:hAnsi="Calibri" w:cs="Arial"/>
          <w:kern w:val="0"/>
          <w:sz w:val="32"/>
          <w:szCs w:val="32"/>
        </w:rPr>
        <w:t> </w:t>
      </w:r>
      <w:r>
        <w:rPr>
          <w:rFonts w:ascii="宋体" w:eastAsia="宋体" w:hAnsi="宋体" w:cs="Arial" w:hint="eastAsia"/>
          <w:kern w:val="0"/>
          <w:sz w:val="32"/>
          <w:szCs w:val="32"/>
        </w:rPr>
        <w:t>高级管理</w:t>
      </w:r>
      <w:proofErr w:type="gramStart"/>
      <w:r>
        <w:rPr>
          <w:rFonts w:ascii="宋体" w:eastAsia="宋体" w:hAnsi="宋体" w:cs="Arial" w:hint="eastAsia"/>
          <w:kern w:val="0"/>
          <w:sz w:val="32"/>
          <w:szCs w:val="32"/>
        </w:rPr>
        <w:t>层承担</w:t>
      </w:r>
      <w:proofErr w:type="gramEnd"/>
      <w:r>
        <w:rPr>
          <w:rFonts w:ascii="宋体" w:eastAsia="宋体" w:hAnsi="宋体" w:cs="Arial" w:hint="eastAsia"/>
          <w:kern w:val="0"/>
          <w:sz w:val="32"/>
          <w:szCs w:val="32"/>
        </w:rPr>
        <w:t>从业人员行为管理的实施责任，执行董事会决议</w:t>
      </w:r>
      <w:r>
        <w:rPr>
          <w:rFonts w:ascii="宋体" w:eastAsia="宋体" w:hAnsi="宋体" w:cs="Arial" w:hint="eastAsia"/>
          <w:kern w:val="0"/>
          <w:sz w:val="32"/>
          <w:szCs w:val="32"/>
        </w:rPr>
        <w:t>，履行以下职责：</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（一）建立覆盖全面的从业人员行为管理体系，明确相关行为管理部门的职责范围；</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（二）制定行为守则及其细则，并确保实施；</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（三）每年将从业人员行为评估结果向董事会报告；</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（四）建立</w:t>
      </w:r>
      <w:proofErr w:type="gramStart"/>
      <w:r>
        <w:rPr>
          <w:rFonts w:ascii="宋体" w:eastAsia="宋体" w:hAnsi="宋体" w:cs="Arial" w:hint="eastAsia"/>
          <w:kern w:val="0"/>
          <w:sz w:val="32"/>
          <w:szCs w:val="32"/>
        </w:rPr>
        <w:t>全机构</w:t>
      </w:r>
      <w:proofErr w:type="gramEnd"/>
      <w:r>
        <w:rPr>
          <w:rFonts w:ascii="宋体" w:eastAsia="宋体" w:hAnsi="宋体" w:cs="Arial" w:hint="eastAsia"/>
          <w:kern w:val="0"/>
          <w:sz w:val="32"/>
          <w:szCs w:val="32"/>
        </w:rPr>
        <w:t>从业人员管理信息系统。</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第九条</w:t>
      </w:r>
      <w:r>
        <w:rPr>
          <w:rFonts w:ascii="Calibri" w:eastAsia="宋体" w:hAnsi="Calibri" w:cs="Arial"/>
          <w:kern w:val="0"/>
          <w:sz w:val="32"/>
          <w:szCs w:val="32"/>
        </w:rPr>
        <w:t> </w:t>
      </w:r>
      <w:r>
        <w:rPr>
          <w:rFonts w:ascii="宋体" w:eastAsia="宋体" w:hAnsi="宋体" w:cs="Arial" w:hint="eastAsia"/>
          <w:kern w:val="0"/>
          <w:sz w:val="32"/>
          <w:szCs w:val="32"/>
        </w:rPr>
        <w:t>银行业金融机构应明确从业人员行为管理的牵头部门，负责</w:t>
      </w:r>
      <w:proofErr w:type="gramStart"/>
      <w:r>
        <w:rPr>
          <w:rFonts w:ascii="宋体" w:eastAsia="宋体" w:hAnsi="宋体" w:cs="Arial" w:hint="eastAsia"/>
          <w:kern w:val="0"/>
          <w:sz w:val="32"/>
          <w:szCs w:val="32"/>
        </w:rPr>
        <w:t>全机构</w:t>
      </w:r>
      <w:proofErr w:type="gramEnd"/>
      <w:r>
        <w:rPr>
          <w:rFonts w:ascii="宋体" w:eastAsia="宋体" w:hAnsi="宋体" w:cs="Arial" w:hint="eastAsia"/>
          <w:kern w:val="0"/>
          <w:sz w:val="32"/>
          <w:szCs w:val="32"/>
        </w:rPr>
        <w:t>从业人员的行为管理。除牵头部门外的风险管理、内控合</w:t>
      </w:r>
      <w:proofErr w:type="gramStart"/>
      <w:r>
        <w:rPr>
          <w:rFonts w:ascii="宋体" w:eastAsia="宋体" w:hAnsi="宋体" w:cs="Arial" w:hint="eastAsia"/>
          <w:kern w:val="0"/>
          <w:sz w:val="32"/>
          <w:szCs w:val="32"/>
        </w:rPr>
        <w:t>规</w:t>
      </w:r>
      <w:proofErr w:type="gramEnd"/>
      <w:r>
        <w:rPr>
          <w:rFonts w:ascii="宋体" w:eastAsia="宋体" w:hAnsi="宋体" w:cs="Arial" w:hint="eastAsia"/>
          <w:kern w:val="0"/>
          <w:sz w:val="32"/>
          <w:szCs w:val="32"/>
        </w:rPr>
        <w:t>、内部审计、人力资源和监察部门等行为管理相关部门应根据从业人员行为管理的职责分工，积极配合牵头部门对从业人员的行为进行监测、识别、记录、处理和报告。</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lastRenderedPageBreak/>
        <w:t>第十条</w:t>
      </w:r>
      <w:r>
        <w:rPr>
          <w:rFonts w:ascii="Calibri" w:eastAsia="宋体" w:hAnsi="Calibri" w:cs="Arial"/>
          <w:kern w:val="0"/>
          <w:sz w:val="32"/>
          <w:szCs w:val="32"/>
        </w:rPr>
        <w:t> </w:t>
      </w:r>
      <w:r>
        <w:rPr>
          <w:rFonts w:ascii="宋体" w:eastAsia="宋体" w:hAnsi="宋体" w:cs="Arial" w:hint="eastAsia"/>
          <w:kern w:val="0"/>
          <w:sz w:val="32"/>
          <w:szCs w:val="32"/>
        </w:rPr>
        <w:t>银行业金融机构应配备专人负责从业人员行为管理，</w:t>
      </w:r>
      <w:proofErr w:type="gramStart"/>
      <w:r>
        <w:rPr>
          <w:rFonts w:ascii="宋体" w:eastAsia="宋体" w:hAnsi="宋体" w:cs="Arial" w:hint="eastAsia"/>
          <w:kern w:val="0"/>
          <w:sz w:val="32"/>
          <w:szCs w:val="32"/>
        </w:rPr>
        <w:t>该岗位</w:t>
      </w:r>
      <w:proofErr w:type="gramEnd"/>
      <w:r>
        <w:rPr>
          <w:rFonts w:ascii="宋体" w:eastAsia="宋体" w:hAnsi="宋体" w:cs="Arial" w:hint="eastAsia"/>
          <w:kern w:val="0"/>
          <w:sz w:val="32"/>
          <w:szCs w:val="32"/>
        </w:rPr>
        <w:t>的从业人员应品行端正、业务熟练，并具有与履职相匹配的经验和适当的职级，其联系方式应在</w:t>
      </w:r>
      <w:proofErr w:type="gramStart"/>
      <w:r>
        <w:rPr>
          <w:rFonts w:ascii="宋体" w:eastAsia="宋体" w:hAnsi="宋体" w:cs="Arial" w:hint="eastAsia"/>
          <w:kern w:val="0"/>
          <w:sz w:val="32"/>
          <w:szCs w:val="32"/>
        </w:rPr>
        <w:t>全机构</w:t>
      </w:r>
      <w:proofErr w:type="gramEnd"/>
      <w:r>
        <w:rPr>
          <w:rFonts w:ascii="宋体" w:eastAsia="宋体" w:hAnsi="宋体" w:cs="Arial" w:hint="eastAsia"/>
          <w:kern w:val="0"/>
          <w:sz w:val="32"/>
          <w:szCs w:val="32"/>
        </w:rPr>
        <w:t>公开并可查询。</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第十一条</w:t>
      </w:r>
      <w:r>
        <w:rPr>
          <w:rFonts w:ascii="Calibri" w:eastAsia="宋体" w:hAnsi="Calibri" w:cs="Arial"/>
          <w:kern w:val="0"/>
          <w:sz w:val="32"/>
          <w:szCs w:val="32"/>
        </w:rPr>
        <w:t> </w:t>
      </w:r>
      <w:r>
        <w:rPr>
          <w:rFonts w:ascii="宋体" w:eastAsia="宋体" w:hAnsi="宋体" w:cs="Arial" w:hint="eastAsia"/>
          <w:kern w:val="0"/>
          <w:sz w:val="32"/>
          <w:szCs w:val="32"/>
        </w:rPr>
        <w:t>银行业金融机构应建立与本机构业务复杂程度相匹配的从业人员管理信息系统，持续收集从业人员的基本情况、行为评价、处罚等相关信息，支持对从业人员行为开展动态监测。</w:t>
      </w:r>
    </w:p>
    <w:p w:rsidR="005651B6" w:rsidRDefault="000D746B">
      <w:pPr>
        <w:widowControl/>
        <w:shd w:val="clear" w:color="auto" w:fill="FFFFFF"/>
        <w:ind w:firstLineChars="200" w:firstLine="643"/>
        <w:jc w:val="center"/>
        <w:rPr>
          <w:rFonts w:ascii="Arial" w:eastAsia="宋体" w:hAnsi="Arial" w:cs="Arial"/>
          <w:kern w:val="0"/>
          <w:sz w:val="32"/>
          <w:szCs w:val="32"/>
        </w:rPr>
      </w:pPr>
      <w:r>
        <w:rPr>
          <w:rFonts w:ascii="宋体" w:eastAsia="宋体" w:hAnsi="宋体" w:cs="Arial" w:hint="eastAsia"/>
          <w:b/>
          <w:bCs/>
          <w:kern w:val="0"/>
          <w:sz w:val="32"/>
          <w:szCs w:val="32"/>
        </w:rPr>
        <w:t>第三章</w:t>
      </w:r>
      <w:r>
        <w:rPr>
          <w:rFonts w:ascii="Calibri" w:eastAsia="宋体" w:hAnsi="Calibri" w:cs="Arial"/>
          <w:b/>
          <w:bCs/>
          <w:kern w:val="0"/>
          <w:sz w:val="32"/>
          <w:szCs w:val="32"/>
        </w:rPr>
        <w:t> </w:t>
      </w:r>
      <w:r>
        <w:rPr>
          <w:rFonts w:ascii="宋体" w:eastAsia="宋体" w:hAnsi="宋体" w:cs="Arial" w:hint="eastAsia"/>
          <w:b/>
          <w:bCs/>
          <w:kern w:val="0"/>
          <w:sz w:val="32"/>
          <w:szCs w:val="32"/>
        </w:rPr>
        <w:t>从业人员行为管理的制度建设</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第十二条</w:t>
      </w:r>
      <w:r>
        <w:rPr>
          <w:rFonts w:ascii="Calibri" w:eastAsia="宋体" w:hAnsi="Calibri" w:cs="Arial"/>
          <w:kern w:val="0"/>
          <w:sz w:val="32"/>
          <w:szCs w:val="32"/>
        </w:rPr>
        <w:t> </w:t>
      </w:r>
      <w:r>
        <w:rPr>
          <w:rFonts w:ascii="宋体" w:eastAsia="宋体" w:hAnsi="宋体" w:cs="Arial" w:hint="eastAsia"/>
          <w:kern w:val="0"/>
          <w:sz w:val="32"/>
          <w:szCs w:val="32"/>
        </w:rPr>
        <w:t>银行业金融机构从业人员行为管理应以风险为本，重点防范从业人员不当行为引发的信用风险、流动性风险、操作风险和声誉风险等各类风险。</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第十三条</w:t>
      </w:r>
      <w:r>
        <w:rPr>
          <w:rFonts w:ascii="Calibri" w:eastAsia="宋体" w:hAnsi="Calibri" w:cs="Arial"/>
          <w:kern w:val="0"/>
          <w:sz w:val="32"/>
          <w:szCs w:val="32"/>
        </w:rPr>
        <w:t> </w:t>
      </w:r>
      <w:r>
        <w:rPr>
          <w:rFonts w:ascii="宋体" w:eastAsia="宋体" w:hAnsi="宋体" w:cs="Arial" w:hint="eastAsia"/>
          <w:kern w:val="0"/>
          <w:sz w:val="32"/>
          <w:szCs w:val="32"/>
        </w:rPr>
        <w:t>银行业金融机构应制定与自身业务复杂程度相匹配的行为守则供全体从业人员遵循。行为守则应有利于银行业金融机构的稳健经营和风险防控。行为守则应包括但不限于从业人员的行为规范、禁止性行为及其问</w:t>
      </w:r>
      <w:proofErr w:type="gramStart"/>
      <w:r>
        <w:rPr>
          <w:rFonts w:ascii="宋体" w:eastAsia="宋体" w:hAnsi="宋体" w:cs="Arial" w:hint="eastAsia"/>
          <w:kern w:val="0"/>
          <w:sz w:val="32"/>
          <w:szCs w:val="32"/>
        </w:rPr>
        <w:t>责处罚</w:t>
      </w:r>
      <w:proofErr w:type="gramEnd"/>
      <w:r>
        <w:rPr>
          <w:rFonts w:ascii="宋体" w:eastAsia="宋体" w:hAnsi="宋体" w:cs="Arial" w:hint="eastAsia"/>
          <w:kern w:val="0"/>
          <w:sz w:val="32"/>
          <w:szCs w:val="32"/>
        </w:rPr>
        <w:t>机制等。银行业金融机构应及时对行为守则进行更新和修订，以适应经营环境和监管要求的变化。</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第十四条</w:t>
      </w:r>
      <w:r>
        <w:rPr>
          <w:rFonts w:ascii="Calibri" w:eastAsia="宋体" w:hAnsi="Calibri" w:cs="Arial"/>
          <w:kern w:val="0"/>
          <w:sz w:val="32"/>
          <w:szCs w:val="32"/>
        </w:rPr>
        <w:t> </w:t>
      </w:r>
      <w:r>
        <w:rPr>
          <w:rFonts w:ascii="宋体" w:eastAsia="宋体" w:hAnsi="宋体" w:cs="Arial" w:hint="eastAsia"/>
          <w:kern w:val="0"/>
          <w:sz w:val="32"/>
          <w:szCs w:val="32"/>
        </w:rPr>
        <w:t>银行业金融机构应制定覆盖各业务条线的行为细则，各业务条线的行为细则应符合不同业务条线的特点，突出各业务条线中关键岗位的行为要求，并重点关注该业务条线中的不当行为可能带来的潜在风险。银行业金融机构应</w:t>
      </w:r>
      <w:r>
        <w:rPr>
          <w:rFonts w:ascii="宋体" w:eastAsia="宋体" w:hAnsi="宋体" w:cs="Arial" w:hint="eastAsia"/>
          <w:kern w:val="0"/>
          <w:sz w:val="32"/>
          <w:szCs w:val="32"/>
        </w:rPr>
        <w:lastRenderedPageBreak/>
        <w:t>及时对行为细则进行更新和修订</w:t>
      </w:r>
      <w:r>
        <w:rPr>
          <w:rFonts w:ascii="宋体" w:eastAsia="宋体" w:hAnsi="宋体" w:cs="Arial" w:hint="eastAsia"/>
          <w:kern w:val="0"/>
          <w:sz w:val="32"/>
          <w:szCs w:val="32"/>
        </w:rPr>
        <w:t>，以适应经营环境和监管要求的变化。</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第十五条</w:t>
      </w:r>
      <w:r>
        <w:rPr>
          <w:rFonts w:ascii="Calibri" w:eastAsia="宋体" w:hAnsi="Calibri" w:cs="Arial"/>
          <w:kern w:val="0"/>
          <w:sz w:val="32"/>
          <w:szCs w:val="32"/>
        </w:rPr>
        <w:t> </w:t>
      </w:r>
      <w:r>
        <w:rPr>
          <w:rFonts w:ascii="宋体" w:eastAsia="宋体" w:hAnsi="宋体" w:cs="Arial" w:hint="eastAsia"/>
          <w:kern w:val="0"/>
          <w:sz w:val="32"/>
          <w:szCs w:val="32"/>
        </w:rPr>
        <w:t>银行业金融机构制定的行为守则及其细则应要求全体从业人员遵守法律法规、恪守工作纪律，包括但不限于：自觉抵制并严禁参与非法集资、地下钱庄、洗钱、商业贿赂、内幕交易、操纵市场等违法行为，不得在任何场所开展未经批准的金融业务，不得销售或推介未经审批的产品，不得代销未持有金融牌照机构发行的产品，不得利用职务和工作之便谋取非法利益，未经监管部门允许不得向社会或其他单位和个人泄露监管工作秘密信息等。</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第十六条</w:t>
      </w:r>
      <w:r>
        <w:rPr>
          <w:rFonts w:ascii="Calibri" w:eastAsia="宋体" w:hAnsi="Calibri" w:cs="Arial"/>
          <w:kern w:val="0"/>
          <w:sz w:val="32"/>
          <w:szCs w:val="32"/>
        </w:rPr>
        <w:t> </w:t>
      </w:r>
      <w:r>
        <w:rPr>
          <w:rFonts w:ascii="宋体" w:eastAsia="宋体" w:hAnsi="宋体" w:cs="Arial" w:hint="eastAsia"/>
          <w:kern w:val="0"/>
          <w:sz w:val="32"/>
          <w:szCs w:val="32"/>
        </w:rPr>
        <w:t>银行业金融机构应通过培训等方式向全体从业人员清楚传达行为守则及其细</w:t>
      </w:r>
      <w:r>
        <w:rPr>
          <w:rFonts w:ascii="宋体" w:eastAsia="宋体" w:hAnsi="宋体" w:cs="Arial" w:hint="eastAsia"/>
          <w:kern w:val="0"/>
          <w:sz w:val="32"/>
          <w:szCs w:val="32"/>
        </w:rPr>
        <w:t>则的相关要求，并视情况开展必要的警示谈话和通报教育。</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第十七条</w:t>
      </w:r>
      <w:r>
        <w:rPr>
          <w:rFonts w:ascii="Calibri" w:eastAsia="宋体" w:hAnsi="Calibri" w:cs="Arial"/>
          <w:kern w:val="0"/>
          <w:sz w:val="32"/>
          <w:szCs w:val="32"/>
        </w:rPr>
        <w:t> </w:t>
      </w:r>
      <w:r>
        <w:rPr>
          <w:rFonts w:ascii="宋体" w:eastAsia="宋体" w:hAnsi="宋体" w:cs="Arial" w:hint="eastAsia"/>
          <w:kern w:val="0"/>
          <w:sz w:val="32"/>
          <w:szCs w:val="32"/>
        </w:rPr>
        <w:t>银行业金融机构的行为管理牵头部门应每年制定从业人员行为的年度评估规划，定期评估全体从业人员行为，并将评估结果向高级管理层报告。针对评估中发现的从业人员不当行为及其风险隐患，应予以记录并及时提出处理建议。针对评估中发现的共性问题，应提出有效的整改计划，并持续对行为守则及其细则进行完善。</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第十八条</w:t>
      </w:r>
      <w:r>
        <w:rPr>
          <w:rFonts w:ascii="Calibri" w:eastAsia="宋体" w:hAnsi="Calibri" w:cs="Arial"/>
          <w:kern w:val="0"/>
          <w:sz w:val="32"/>
          <w:szCs w:val="32"/>
        </w:rPr>
        <w:t> </w:t>
      </w:r>
      <w:r>
        <w:rPr>
          <w:rFonts w:ascii="宋体" w:eastAsia="宋体" w:hAnsi="宋体" w:cs="Arial" w:hint="eastAsia"/>
          <w:kern w:val="0"/>
          <w:sz w:val="32"/>
          <w:szCs w:val="32"/>
        </w:rPr>
        <w:t>银行业金融机构的行为管理牵头部门应完善从业人员行为的长期监测机制，并建立针对重点问题、关键</w:t>
      </w:r>
      <w:r>
        <w:rPr>
          <w:rFonts w:ascii="宋体" w:eastAsia="宋体" w:hAnsi="宋体" w:cs="Arial" w:hint="eastAsia"/>
          <w:kern w:val="0"/>
          <w:sz w:val="32"/>
          <w:szCs w:val="32"/>
        </w:rPr>
        <w:lastRenderedPageBreak/>
        <w:t>岗位的不定期排查机制。针对监测和排查中发现的问题，应予以记录并</w:t>
      </w:r>
      <w:r>
        <w:rPr>
          <w:rFonts w:ascii="宋体" w:eastAsia="宋体" w:hAnsi="宋体" w:cs="Arial" w:hint="eastAsia"/>
          <w:kern w:val="0"/>
          <w:sz w:val="32"/>
          <w:szCs w:val="32"/>
        </w:rPr>
        <w:t>及时提出处理建议。</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第十九条</w:t>
      </w:r>
      <w:r>
        <w:rPr>
          <w:rFonts w:ascii="Calibri" w:eastAsia="宋体" w:hAnsi="Calibri" w:cs="Arial"/>
          <w:kern w:val="0"/>
          <w:sz w:val="32"/>
          <w:szCs w:val="32"/>
        </w:rPr>
        <w:t> </w:t>
      </w:r>
      <w:r>
        <w:rPr>
          <w:rFonts w:ascii="宋体" w:eastAsia="宋体" w:hAnsi="宋体" w:cs="Arial" w:hint="eastAsia"/>
          <w:kern w:val="0"/>
          <w:sz w:val="32"/>
          <w:szCs w:val="32"/>
        </w:rPr>
        <w:t>银行业金融机构应在从业人员招聘和任职程序中评估其与业务相关的行为，重点考察是否有不当行为记录。对银行业金融机构从业人员的利益相关人员，不得降低招聘录用标准。银行业金融机构应落实任职回避和业务回避制度，应从职责安排上形成有效制衡，避免从业人员滥用职权。</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银行业金融机构在招录董事（理事）和高级管理人员时，应向银行业监督管理机构申请在银行业金融机构从业人员处罚信息系统中查询有关行政处罚信息。</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第二十条</w:t>
      </w:r>
      <w:r>
        <w:rPr>
          <w:rFonts w:ascii="Calibri" w:eastAsia="宋体" w:hAnsi="Calibri" w:cs="Arial"/>
          <w:kern w:val="0"/>
          <w:sz w:val="32"/>
          <w:szCs w:val="32"/>
        </w:rPr>
        <w:t> </w:t>
      </w:r>
      <w:r>
        <w:rPr>
          <w:rFonts w:ascii="宋体" w:eastAsia="宋体" w:hAnsi="宋体" w:cs="Arial" w:hint="eastAsia"/>
          <w:kern w:val="0"/>
          <w:sz w:val="32"/>
          <w:szCs w:val="32"/>
        </w:rPr>
        <w:t>银行业金融机构应将从业人员行为评估结果作为薪酬发放和职位晋升的重要依据。银行业金融机构应针对高级管理人员及关键岗位人员制定与其行为挂钩的绩效薪酬延期追索、扣回制度。银行业金融机构应明确晋升的基本条件，未达到相关行为要求的从业人员不得晋升。</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第二十一条</w:t>
      </w:r>
      <w:r>
        <w:rPr>
          <w:rFonts w:ascii="Calibri" w:eastAsia="宋体" w:hAnsi="Calibri" w:cs="Arial"/>
          <w:kern w:val="0"/>
          <w:sz w:val="32"/>
          <w:szCs w:val="32"/>
        </w:rPr>
        <w:t> </w:t>
      </w:r>
      <w:r>
        <w:rPr>
          <w:rFonts w:ascii="宋体" w:eastAsia="宋体" w:hAnsi="宋体" w:cs="Arial" w:hint="eastAsia"/>
          <w:kern w:val="0"/>
          <w:sz w:val="32"/>
          <w:szCs w:val="32"/>
        </w:rPr>
        <w:t>银行业金融机构应建立举报制度，鼓励从业人员积极抵制、堵截和检举各类违法违规违纪和危害所在机构声誉的行为。银行业金融机构相关职能部门接到举报后，应迅速处理，并视其严重程度向高级管理层汇报，高级管理层应视其严重程度向银行业监督管理机构及其他相关监管机构或执法部门报</w:t>
      </w:r>
      <w:r>
        <w:rPr>
          <w:rFonts w:ascii="宋体" w:eastAsia="宋体" w:hAnsi="宋体" w:cs="Arial" w:hint="eastAsia"/>
          <w:kern w:val="0"/>
          <w:sz w:val="32"/>
          <w:szCs w:val="32"/>
        </w:rPr>
        <w:t>告。</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lastRenderedPageBreak/>
        <w:t>第二十二条</w:t>
      </w:r>
      <w:r>
        <w:rPr>
          <w:rFonts w:ascii="Calibri" w:eastAsia="宋体" w:hAnsi="Calibri" w:cs="Arial"/>
          <w:kern w:val="0"/>
          <w:sz w:val="32"/>
          <w:szCs w:val="32"/>
        </w:rPr>
        <w:t> </w:t>
      </w:r>
      <w:r>
        <w:rPr>
          <w:rFonts w:ascii="宋体" w:eastAsia="宋体" w:hAnsi="宋体" w:cs="Arial" w:hint="eastAsia"/>
          <w:kern w:val="0"/>
          <w:sz w:val="32"/>
          <w:szCs w:val="32"/>
        </w:rPr>
        <w:t>银行业金融机构应及时对违反行为守则及其细则的从业人员进行处理和责任追究，并视情况追究负有管理职责的相关责任人的责任。对于涉嫌刑事犯罪的行为，银行业金融机构应及时移送司法机关，不得以纪律处分代替法律制裁。与本行解除或终止劳动合同的离职或退休人员，如被发现在银行业金融机构工作期间存在严重违规行为的，仍应追究其责任。</w:t>
      </w:r>
    </w:p>
    <w:p w:rsidR="005651B6" w:rsidRDefault="000D746B">
      <w:pPr>
        <w:widowControl/>
        <w:shd w:val="clear" w:color="auto" w:fill="FFFFFF"/>
        <w:ind w:firstLineChars="200" w:firstLine="643"/>
        <w:jc w:val="center"/>
        <w:rPr>
          <w:rFonts w:ascii="Arial" w:eastAsia="宋体" w:hAnsi="Arial" w:cs="Arial"/>
          <w:kern w:val="0"/>
          <w:sz w:val="32"/>
          <w:szCs w:val="32"/>
        </w:rPr>
      </w:pPr>
      <w:r>
        <w:rPr>
          <w:rFonts w:ascii="宋体" w:eastAsia="宋体" w:hAnsi="宋体" w:cs="Arial" w:hint="eastAsia"/>
          <w:b/>
          <w:bCs/>
          <w:kern w:val="0"/>
          <w:sz w:val="32"/>
          <w:szCs w:val="32"/>
        </w:rPr>
        <w:t>第四章</w:t>
      </w:r>
      <w:r>
        <w:rPr>
          <w:rFonts w:ascii="Calibri" w:eastAsia="宋体" w:hAnsi="Calibri" w:cs="Arial"/>
          <w:b/>
          <w:bCs/>
          <w:kern w:val="0"/>
          <w:sz w:val="32"/>
          <w:szCs w:val="32"/>
        </w:rPr>
        <w:t> </w:t>
      </w:r>
      <w:r>
        <w:rPr>
          <w:rFonts w:ascii="宋体" w:eastAsia="宋体" w:hAnsi="宋体" w:cs="Arial" w:hint="eastAsia"/>
          <w:b/>
          <w:bCs/>
          <w:kern w:val="0"/>
          <w:sz w:val="32"/>
          <w:szCs w:val="32"/>
        </w:rPr>
        <w:t>从业人员行为管理的监管</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第二十三条</w:t>
      </w:r>
      <w:r>
        <w:rPr>
          <w:rFonts w:ascii="Calibri" w:eastAsia="宋体" w:hAnsi="Calibri" w:cs="Arial"/>
          <w:kern w:val="0"/>
          <w:sz w:val="32"/>
          <w:szCs w:val="32"/>
        </w:rPr>
        <w:t> </w:t>
      </w:r>
      <w:r>
        <w:rPr>
          <w:rFonts w:ascii="宋体" w:eastAsia="宋体" w:hAnsi="宋体" w:cs="Arial" w:hint="eastAsia"/>
          <w:kern w:val="0"/>
          <w:sz w:val="32"/>
          <w:szCs w:val="32"/>
        </w:rPr>
        <w:t>银行业金融机构应当将本机构制定的从业人员行为守则及其细则报送银行业监督管理机构，并每年至少报送一次本机构从业人员行为评估报告，报告应至少</w:t>
      </w:r>
      <w:r>
        <w:rPr>
          <w:rFonts w:ascii="宋体" w:eastAsia="宋体" w:hAnsi="宋体" w:cs="Arial" w:hint="eastAsia"/>
          <w:kern w:val="0"/>
          <w:sz w:val="32"/>
          <w:szCs w:val="32"/>
        </w:rPr>
        <w:t>包括本机构从业人员行为管理的治理架构、制度建设、从业人员不当行为等内容。</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第二十四条</w:t>
      </w:r>
      <w:r>
        <w:rPr>
          <w:rFonts w:ascii="Calibri" w:eastAsia="宋体" w:hAnsi="Calibri" w:cs="Arial"/>
          <w:kern w:val="0"/>
          <w:sz w:val="32"/>
          <w:szCs w:val="32"/>
        </w:rPr>
        <w:t> </w:t>
      </w:r>
      <w:r>
        <w:rPr>
          <w:rFonts w:ascii="宋体" w:eastAsia="宋体" w:hAnsi="宋体" w:cs="Arial" w:hint="eastAsia"/>
          <w:kern w:val="0"/>
          <w:sz w:val="32"/>
          <w:szCs w:val="32"/>
        </w:rPr>
        <w:t>银行业监督管理机构通过非现场监管和现场检查等对银行业金融机构从业人员行为管理进行评估和监督管理，并在监管评级中考虑上述评估结果。对于不能满足本指引及其他法律法规中关于从业人员行为管理相关要求的银行业金融机构，银行业监督管理机构可以要求其制定整改方案，责令限期改正，并视情况采取相应的监管措施。</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第二十五条</w:t>
      </w:r>
      <w:r>
        <w:rPr>
          <w:rFonts w:ascii="Calibri" w:eastAsia="宋体" w:hAnsi="Calibri" w:cs="Arial"/>
          <w:kern w:val="0"/>
          <w:sz w:val="32"/>
          <w:szCs w:val="32"/>
        </w:rPr>
        <w:t> </w:t>
      </w:r>
      <w:r>
        <w:rPr>
          <w:rFonts w:ascii="宋体" w:eastAsia="宋体" w:hAnsi="宋体" w:cs="Arial" w:hint="eastAsia"/>
          <w:kern w:val="0"/>
          <w:sz w:val="32"/>
          <w:szCs w:val="32"/>
        </w:rPr>
        <w:t>银行业金融机构应当根据《银行业金融机构从业人员处罚信息管理办法》的相关要求，将本机构从业人员受刑事处罚、行政处罚、纪律处</w:t>
      </w:r>
      <w:r>
        <w:rPr>
          <w:rFonts w:ascii="宋体" w:eastAsia="宋体" w:hAnsi="宋体" w:cs="Arial" w:hint="eastAsia"/>
          <w:kern w:val="0"/>
          <w:sz w:val="32"/>
          <w:szCs w:val="32"/>
        </w:rPr>
        <w:t>分、职位处分和经济处理</w:t>
      </w:r>
      <w:r>
        <w:rPr>
          <w:rFonts w:ascii="宋体" w:eastAsia="宋体" w:hAnsi="宋体" w:cs="Arial" w:hint="eastAsia"/>
          <w:kern w:val="0"/>
          <w:sz w:val="32"/>
          <w:szCs w:val="32"/>
        </w:rPr>
        <w:lastRenderedPageBreak/>
        <w:t>等惩戒措施情况，根据属地监管原则分别向银行业监督管理机构及其派出机构报送相关信息。</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第二十六条</w:t>
      </w:r>
      <w:r>
        <w:rPr>
          <w:rFonts w:ascii="Calibri" w:eastAsia="宋体" w:hAnsi="Calibri" w:cs="Arial"/>
          <w:kern w:val="0"/>
          <w:sz w:val="32"/>
          <w:szCs w:val="32"/>
        </w:rPr>
        <w:t> </w:t>
      </w:r>
      <w:r>
        <w:rPr>
          <w:rFonts w:ascii="宋体" w:eastAsia="宋体" w:hAnsi="宋体" w:cs="Arial" w:hint="eastAsia"/>
          <w:kern w:val="0"/>
          <w:sz w:val="32"/>
          <w:szCs w:val="32"/>
        </w:rPr>
        <w:t>银行业监督管理机构在核准银行业金融机构董事（理事）和高级管理人员等任职资格时，应在银行业金融机构从业人员处罚信息系统中查询从业人员处罚信息，并根据查询结果，依照有关规定决定是否予以核准。银行业监督管理机构及银行业金融机构不得违反规定泄露从业人员处罚信息。</w:t>
      </w:r>
    </w:p>
    <w:p w:rsidR="005651B6" w:rsidRDefault="000D746B">
      <w:pPr>
        <w:widowControl/>
        <w:shd w:val="clear" w:color="auto" w:fill="FFFFFF"/>
        <w:ind w:firstLineChars="200" w:firstLine="643"/>
        <w:jc w:val="center"/>
        <w:rPr>
          <w:rFonts w:ascii="Arial" w:eastAsia="宋体" w:hAnsi="Arial" w:cs="Arial"/>
          <w:kern w:val="0"/>
          <w:sz w:val="32"/>
          <w:szCs w:val="32"/>
        </w:rPr>
      </w:pPr>
      <w:r>
        <w:rPr>
          <w:rFonts w:ascii="宋体" w:eastAsia="宋体" w:hAnsi="宋体" w:cs="Arial" w:hint="eastAsia"/>
          <w:b/>
          <w:bCs/>
          <w:kern w:val="0"/>
          <w:sz w:val="32"/>
          <w:szCs w:val="32"/>
        </w:rPr>
        <w:t>第五章</w:t>
      </w:r>
      <w:r>
        <w:rPr>
          <w:rFonts w:ascii="Calibri" w:eastAsia="宋体" w:hAnsi="Calibri" w:cs="Arial"/>
          <w:b/>
          <w:bCs/>
          <w:kern w:val="0"/>
          <w:sz w:val="32"/>
          <w:szCs w:val="32"/>
        </w:rPr>
        <w:t> </w:t>
      </w:r>
      <w:r>
        <w:rPr>
          <w:rFonts w:ascii="宋体" w:eastAsia="宋体" w:hAnsi="宋体" w:cs="Arial" w:hint="eastAsia"/>
          <w:b/>
          <w:bCs/>
          <w:kern w:val="0"/>
          <w:sz w:val="32"/>
          <w:szCs w:val="32"/>
        </w:rPr>
        <w:t>附则</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第二十七条</w:t>
      </w:r>
      <w:r>
        <w:rPr>
          <w:rFonts w:ascii="Calibri" w:eastAsia="宋体" w:hAnsi="Calibri" w:cs="Arial"/>
          <w:kern w:val="0"/>
          <w:sz w:val="32"/>
          <w:szCs w:val="32"/>
        </w:rPr>
        <w:t> </w:t>
      </w:r>
      <w:r>
        <w:rPr>
          <w:rFonts w:ascii="宋体" w:eastAsia="宋体" w:hAnsi="宋体" w:cs="Arial" w:hint="eastAsia"/>
          <w:kern w:val="0"/>
          <w:sz w:val="32"/>
          <w:szCs w:val="32"/>
        </w:rPr>
        <w:t>本指引由中国银行业监督管理机构负责解释和修订。</w:t>
      </w:r>
    </w:p>
    <w:p w:rsidR="005651B6" w:rsidRDefault="000D746B">
      <w:pPr>
        <w:widowControl/>
        <w:shd w:val="clear" w:color="auto" w:fill="FFFFFF"/>
        <w:ind w:firstLineChars="200" w:firstLine="640"/>
        <w:jc w:val="left"/>
        <w:rPr>
          <w:rFonts w:ascii="Arial" w:eastAsia="宋体" w:hAnsi="Arial" w:cs="Arial"/>
          <w:kern w:val="0"/>
          <w:sz w:val="32"/>
          <w:szCs w:val="32"/>
        </w:rPr>
      </w:pPr>
      <w:r>
        <w:rPr>
          <w:rFonts w:ascii="宋体" w:eastAsia="宋体" w:hAnsi="宋体" w:cs="Arial" w:hint="eastAsia"/>
          <w:kern w:val="0"/>
          <w:sz w:val="32"/>
          <w:szCs w:val="32"/>
        </w:rPr>
        <w:t>第二十八条</w:t>
      </w:r>
      <w:r>
        <w:rPr>
          <w:rFonts w:ascii="Calibri" w:eastAsia="宋体" w:hAnsi="Calibri" w:cs="Arial"/>
          <w:kern w:val="0"/>
          <w:sz w:val="32"/>
          <w:szCs w:val="32"/>
        </w:rPr>
        <w:t> </w:t>
      </w:r>
      <w:r>
        <w:rPr>
          <w:rFonts w:ascii="宋体" w:eastAsia="宋体" w:hAnsi="宋体" w:cs="Arial" w:hint="eastAsia"/>
          <w:kern w:val="0"/>
          <w:sz w:val="32"/>
          <w:szCs w:val="32"/>
        </w:rPr>
        <w:t>本指引自印发之日起施行。</w:t>
      </w:r>
    </w:p>
    <w:p w:rsidR="005651B6" w:rsidRDefault="005651B6">
      <w:pPr>
        <w:ind w:firstLineChars="200" w:firstLine="640"/>
        <w:rPr>
          <w:sz w:val="32"/>
          <w:szCs w:val="32"/>
        </w:rPr>
      </w:pPr>
    </w:p>
    <w:sectPr w:rsidR="005651B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46B" w:rsidRDefault="000D746B" w:rsidP="007F0E21">
      <w:pPr>
        <w:ind w:firstLine="105"/>
      </w:pPr>
      <w:r>
        <w:separator/>
      </w:r>
    </w:p>
  </w:endnote>
  <w:endnote w:type="continuationSeparator" w:id="0">
    <w:p w:rsidR="000D746B" w:rsidRDefault="000D746B" w:rsidP="007F0E21">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4"/>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4"/>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4"/>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46B" w:rsidRDefault="000D746B" w:rsidP="007F0E21">
      <w:pPr>
        <w:ind w:firstLine="105"/>
      </w:pPr>
      <w:r>
        <w:separator/>
      </w:r>
    </w:p>
  </w:footnote>
  <w:footnote w:type="continuationSeparator" w:id="0">
    <w:p w:rsidR="000D746B" w:rsidRDefault="000D746B" w:rsidP="007F0E21">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3"/>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3"/>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21" w:rsidRDefault="007F0E21" w:rsidP="007F0E21">
    <w:pPr>
      <w:pStyle w:val="a3"/>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5C83"/>
    <w:rsid w:val="000D746B"/>
    <w:rsid w:val="000F5C83"/>
    <w:rsid w:val="003944AC"/>
    <w:rsid w:val="005651B6"/>
    <w:rsid w:val="007F0E21"/>
    <w:rsid w:val="009940AD"/>
    <w:rsid w:val="00A44825"/>
    <w:rsid w:val="47D8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0E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0E21"/>
    <w:rPr>
      <w:kern w:val="2"/>
      <w:sz w:val="18"/>
      <w:szCs w:val="18"/>
    </w:rPr>
  </w:style>
  <w:style w:type="paragraph" w:styleId="a4">
    <w:name w:val="footer"/>
    <w:basedOn w:val="a"/>
    <w:link w:val="Char0"/>
    <w:uiPriority w:val="99"/>
    <w:unhideWhenUsed/>
    <w:rsid w:val="007F0E21"/>
    <w:pPr>
      <w:tabs>
        <w:tab w:val="center" w:pos="4153"/>
        <w:tab w:val="right" w:pos="8306"/>
      </w:tabs>
      <w:snapToGrid w:val="0"/>
      <w:jc w:val="left"/>
    </w:pPr>
    <w:rPr>
      <w:sz w:val="18"/>
      <w:szCs w:val="18"/>
    </w:rPr>
  </w:style>
  <w:style w:type="character" w:customStyle="1" w:styleId="Char0">
    <w:name w:val="页脚 Char"/>
    <w:basedOn w:val="a0"/>
    <w:link w:val="a4"/>
    <w:uiPriority w:val="99"/>
    <w:rsid w:val="007F0E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524</Words>
  <Characters>2992</Characters>
  <Application>Microsoft Office Word</Application>
  <DocSecurity>0</DocSecurity>
  <Lines>24</Lines>
  <Paragraphs>7</Paragraphs>
  <ScaleCrop>false</ScaleCrop>
  <Company>微软中国</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2020-08-24T04:58:00Z</dcterms:created>
  <dcterms:modified xsi:type="dcterms:W3CDTF">2020-09-03T08:17:00Z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